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1E6" w:rsidRPr="00A27292" w:rsidRDefault="000351E6" w:rsidP="000351E6">
      <w:pPr>
        <w:autoSpaceDE w:val="0"/>
        <w:autoSpaceDN w:val="0"/>
        <w:adjustRightInd w:val="0"/>
        <w:jc w:val="center"/>
        <w:rPr>
          <w:b w:val="0"/>
          <w:color w:val="000000"/>
          <w:szCs w:val="24"/>
        </w:rPr>
      </w:pPr>
      <w:r w:rsidRPr="00A27292">
        <w:rPr>
          <w:color w:val="000000"/>
          <w:szCs w:val="24"/>
        </w:rPr>
        <w:t>El</w:t>
      </w:r>
      <w:r>
        <w:rPr>
          <w:color w:val="000000"/>
          <w:szCs w:val="24"/>
        </w:rPr>
        <w:t xml:space="preserve"> núcleo y sus radiaciones - 201</w:t>
      </w:r>
      <w:r w:rsidR="00100FF7">
        <w:rPr>
          <w:color w:val="000000"/>
          <w:szCs w:val="24"/>
        </w:rPr>
        <w:t>7</w:t>
      </w:r>
    </w:p>
    <w:p w:rsidR="000351E6" w:rsidRPr="00A27292" w:rsidRDefault="000351E6" w:rsidP="000351E6">
      <w:pPr>
        <w:autoSpaceDE w:val="0"/>
        <w:autoSpaceDN w:val="0"/>
        <w:adjustRightInd w:val="0"/>
        <w:jc w:val="center"/>
        <w:rPr>
          <w:b w:val="0"/>
          <w:color w:val="000000"/>
          <w:szCs w:val="24"/>
        </w:rPr>
      </w:pPr>
      <w:r w:rsidRPr="00A27292">
        <w:rPr>
          <w:color w:val="000000"/>
          <w:szCs w:val="24"/>
        </w:rPr>
        <w:t xml:space="preserve">Práctica </w:t>
      </w:r>
      <w:r w:rsidR="00F1155E">
        <w:rPr>
          <w:color w:val="000000"/>
          <w:szCs w:val="24"/>
        </w:rPr>
        <w:t>4</w:t>
      </w:r>
      <w:bookmarkStart w:id="0" w:name="_GoBack"/>
      <w:bookmarkEnd w:id="0"/>
    </w:p>
    <w:p w:rsidR="000351E6" w:rsidRPr="000351E6" w:rsidRDefault="000351E6" w:rsidP="000351E6">
      <w:pPr>
        <w:autoSpaceDE w:val="0"/>
        <w:autoSpaceDN w:val="0"/>
        <w:adjustRightInd w:val="0"/>
        <w:jc w:val="center"/>
        <w:rPr>
          <w:b w:val="0"/>
          <w:i/>
          <w:caps w:val="0"/>
          <w:color w:val="000000"/>
          <w:szCs w:val="24"/>
        </w:rPr>
      </w:pPr>
      <w:r>
        <w:rPr>
          <w:b w:val="0"/>
          <w:i/>
          <w:caps w:val="0"/>
          <w:color w:val="000000"/>
          <w:szCs w:val="24"/>
        </w:rPr>
        <w:t>Interacció</w:t>
      </w:r>
      <w:r w:rsidR="00100FF7">
        <w:rPr>
          <w:b w:val="0"/>
          <w:i/>
          <w:caps w:val="0"/>
          <w:color w:val="000000"/>
          <w:szCs w:val="24"/>
        </w:rPr>
        <w:t xml:space="preserve">n de la radiación con la materia I. Radiacion </w:t>
      </w:r>
      <w:r w:rsidR="00100FF7">
        <w:rPr>
          <w:b w:val="0"/>
          <w:caps w:val="0"/>
        </w:rPr>
        <w:sym w:font="Symbol" w:char="F067"/>
      </w:r>
    </w:p>
    <w:p w:rsidR="000351E6" w:rsidRDefault="000351E6" w:rsidP="000351E6">
      <w:pPr>
        <w:autoSpaceDE w:val="0"/>
        <w:autoSpaceDN w:val="0"/>
        <w:adjustRightInd w:val="0"/>
        <w:jc w:val="both"/>
        <w:rPr>
          <w:color w:val="000000"/>
          <w:szCs w:val="24"/>
        </w:rPr>
      </w:pPr>
    </w:p>
    <w:p w:rsidR="006C135C" w:rsidRDefault="006C135C" w:rsidP="000616BF">
      <w:pPr>
        <w:jc w:val="both"/>
        <w:rPr>
          <w:b w:val="0"/>
          <w:caps w:val="0"/>
        </w:rPr>
      </w:pPr>
    </w:p>
    <w:p w:rsidR="000616BF" w:rsidRPr="000616BF" w:rsidRDefault="004A0A35" w:rsidP="000616BF">
      <w:pPr>
        <w:jc w:val="both"/>
        <w:rPr>
          <w:b w:val="0"/>
          <w:caps w:val="0"/>
        </w:rPr>
      </w:pPr>
      <w:r>
        <w:rPr>
          <w:b w:val="0"/>
          <w:caps w:val="0"/>
        </w:rPr>
        <w:t>1</w:t>
      </w:r>
      <w:r w:rsidR="00B16685">
        <w:rPr>
          <w:b w:val="0"/>
          <w:caps w:val="0"/>
        </w:rPr>
        <w:t xml:space="preserve">. </w:t>
      </w:r>
      <w:r w:rsidR="000616BF" w:rsidRPr="000616BF">
        <w:rPr>
          <w:b w:val="0"/>
          <w:caps w:val="0"/>
        </w:rPr>
        <w:t xml:space="preserve">La sección eficaz de absorción total para rayos </w:t>
      </w:r>
      <w:r w:rsidR="000616BF">
        <w:rPr>
          <w:b w:val="0"/>
          <w:caps w:val="0"/>
        </w:rPr>
        <w:sym w:font="Symbol" w:char="F067"/>
      </w:r>
      <w:r w:rsidR="000616BF" w:rsidRPr="000616BF">
        <w:rPr>
          <w:b w:val="0"/>
          <w:caps w:val="0"/>
        </w:rPr>
        <w:t xml:space="preserve"> en el Pb vale aproximadamente 20 barns a 15 MeV. a) ¿Qué espesor de Pb reducirá la intensidad de los rayos gamma a 1/e? b) ¿Qué espesor reducirá la intensidad en un factor 100?</w:t>
      </w:r>
    </w:p>
    <w:p w:rsidR="000351E6" w:rsidRDefault="000351E6" w:rsidP="000616BF">
      <w:pPr>
        <w:jc w:val="both"/>
        <w:rPr>
          <w:b w:val="0"/>
          <w:caps w:val="0"/>
        </w:rPr>
      </w:pPr>
    </w:p>
    <w:p w:rsidR="000616BF" w:rsidRPr="000616BF" w:rsidRDefault="004A0A35" w:rsidP="000616BF">
      <w:pPr>
        <w:jc w:val="both"/>
        <w:rPr>
          <w:b w:val="0"/>
          <w:caps w:val="0"/>
        </w:rPr>
      </w:pPr>
      <w:r>
        <w:rPr>
          <w:b w:val="0"/>
          <w:caps w:val="0"/>
        </w:rPr>
        <w:t>2</w:t>
      </w:r>
      <w:r w:rsidR="00B16685">
        <w:rPr>
          <w:b w:val="0"/>
          <w:caps w:val="0"/>
        </w:rPr>
        <w:t xml:space="preserve">. </w:t>
      </w:r>
      <w:r w:rsidR="000616BF" w:rsidRPr="000616BF">
        <w:rPr>
          <w:b w:val="0"/>
          <w:caps w:val="0"/>
        </w:rPr>
        <w:t xml:space="preserve">Un haz de fotones colimados provenientes de una fuente de </w:t>
      </w:r>
      <w:r w:rsidR="000616BF" w:rsidRPr="000616BF">
        <w:rPr>
          <w:b w:val="0"/>
          <w:caps w:val="0"/>
          <w:vertAlign w:val="superscript"/>
        </w:rPr>
        <w:t>137</w:t>
      </w:r>
      <w:r w:rsidR="000616BF" w:rsidRPr="000616BF">
        <w:rPr>
          <w:b w:val="0"/>
          <w:caps w:val="0"/>
        </w:rPr>
        <w:t>Cs, incide sobre tejido muscular. Calcular el porcentaje de fotones que emergen después de atravesar un espesor de 20 cm. Realizar el mismo cálculo para 20 cm de aire en condiciones normales.</w:t>
      </w:r>
    </w:p>
    <w:p w:rsidR="00B16685" w:rsidRPr="00B16685" w:rsidRDefault="00B16685" w:rsidP="00B16685">
      <w:pPr>
        <w:jc w:val="both"/>
        <w:rPr>
          <w:b w:val="0"/>
          <w:caps w:val="0"/>
        </w:rPr>
      </w:pPr>
    </w:p>
    <w:p w:rsidR="000616BF" w:rsidRDefault="004A0A35" w:rsidP="000616BF">
      <w:pPr>
        <w:jc w:val="both"/>
        <w:rPr>
          <w:b w:val="0"/>
          <w:caps w:val="0"/>
        </w:rPr>
      </w:pPr>
      <w:r>
        <w:rPr>
          <w:b w:val="0"/>
          <w:caps w:val="0"/>
        </w:rPr>
        <w:t>3</w:t>
      </w:r>
      <w:r w:rsidR="00970625">
        <w:rPr>
          <w:b w:val="0"/>
          <w:caps w:val="0"/>
        </w:rPr>
        <w:t xml:space="preserve">. </w:t>
      </w:r>
      <w:r w:rsidR="000616BF" w:rsidRPr="000616BF">
        <w:rPr>
          <w:b w:val="0"/>
          <w:caps w:val="0"/>
        </w:rPr>
        <w:t xml:space="preserve">Sea una fuente radiactiva </w:t>
      </w:r>
      <w:r w:rsidR="008E20FF">
        <w:rPr>
          <w:b w:val="0"/>
          <w:caps w:val="0"/>
        </w:rPr>
        <w:t xml:space="preserve">de </w:t>
      </w:r>
      <w:r w:rsidR="008E20FF" w:rsidRPr="008E20FF">
        <w:rPr>
          <w:b w:val="0"/>
          <w:caps w:val="0"/>
          <w:vertAlign w:val="superscript"/>
        </w:rPr>
        <w:t>22</w:t>
      </w:r>
      <w:r w:rsidR="008E20FF">
        <w:rPr>
          <w:b w:val="0"/>
          <w:caps w:val="0"/>
        </w:rPr>
        <w:t>Na</w:t>
      </w:r>
      <w:r w:rsidR="000616BF" w:rsidRPr="000616BF">
        <w:rPr>
          <w:b w:val="0"/>
          <w:caps w:val="0"/>
        </w:rPr>
        <w:t xml:space="preserve">. Si se desea emplear los gammas de más alta energía, evitando la exposición a los gamma de </w:t>
      </w:r>
      <w:r w:rsidR="008E20FF">
        <w:rPr>
          <w:b w:val="0"/>
          <w:caps w:val="0"/>
        </w:rPr>
        <w:t>menor energía</w:t>
      </w:r>
      <w:r w:rsidR="000616BF" w:rsidRPr="000616BF">
        <w:rPr>
          <w:b w:val="0"/>
          <w:caps w:val="0"/>
        </w:rPr>
        <w:t xml:space="preserve">,  calcular qué espesor de Al es necesario interponer entre fuente y detector. En qué porcentaje se reducirá la intensidad del haz de </w:t>
      </w:r>
      <w:r w:rsidR="008E20FF">
        <w:rPr>
          <w:b w:val="0"/>
          <w:caps w:val="0"/>
        </w:rPr>
        <w:t>mayor energía.</w:t>
      </w:r>
    </w:p>
    <w:p w:rsidR="008E20FF" w:rsidRDefault="008E20FF" w:rsidP="000616BF">
      <w:pPr>
        <w:jc w:val="both"/>
        <w:rPr>
          <w:b w:val="0"/>
          <w:caps w:val="0"/>
        </w:rPr>
      </w:pPr>
    </w:p>
    <w:p w:rsidR="008E20FF" w:rsidRPr="008E20FF" w:rsidRDefault="004A0A35" w:rsidP="008E20FF">
      <w:pPr>
        <w:jc w:val="both"/>
        <w:rPr>
          <w:b w:val="0"/>
          <w:caps w:val="0"/>
        </w:rPr>
      </w:pPr>
      <w:r>
        <w:rPr>
          <w:b w:val="0"/>
          <w:caps w:val="0"/>
        </w:rPr>
        <w:t xml:space="preserve">4. </w:t>
      </w:r>
      <w:r w:rsidR="008E20FF" w:rsidRPr="008E20FF">
        <w:rPr>
          <w:b w:val="0"/>
          <w:caps w:val="0"/>
        </w:rPr>
        <w:t>Se tienen una fuente de</w:t>
      </w:r>
      <w:r w:rsidR="008E20FF">
        <w:rPr>
          <w:b w:val="0"/>
          <w:caps w:val="0"/>
        </w:rPr>
        <w:t xml:space="preserve"> </w:t>
      </w:r>
      <w:r w:rsidR="008E20FF" w:rsidRPr="008E20FF">
        <w:rPr>
          <w:b w:val="0"/>
          <w:caps w:val="0"/>
          <w:vertAlign w:val="superscript"/>
        </w:rPr>
        <w:t>54</w:t>
      </w:r>
      <w:r w:rsidR="008E20FF">
        <w:rPr>
          <w:b w:val="0"/>
          <w:caps w:val="0"/>
        </w:rPr>
        <w:t>Mn</w:t>
      </w:r>
      <w:r w:rsidR="008E20FF" w:rsidRPr="008E20FF">
        <w:rPr>
          <w:b w:val="0"/>
          <w:caps w:val="0"/>
        </w:rPr>
        <w:t xml:space="preserve"> con una actividad de 50μCi. Estime el espesor mínimo de</w:t>
      </w:r>
    </w:p>
    <w:p w:rsidR="008E20FF" w:rsidRDefault="008E20FF" w:rsidP="008E20FF">
      <w:pPr>
        <w:jc w:val="both"/>
        <w:rPr>
          <w:b w:val="0"/>
          <w:caps w:val="0"/>
        </w:rPr>
      </w:pPr>
      <w:r w:rsidRPr="008E20FF">
        <w:rPr>
          <w:b w:val="0"/>
          <w:caps w:val="0"/>
        </w:rPr>
        <w:t xml:space="preserve">Aluminio necesario </w:t>
      </w:r>
      <w:r>
        <w:rPr>
          <w:b w:val="0"/>
          <w:caps w:val="0"/>
        </w:rPr>
        <w:t>para atenuar todas las emisiones en un 99%</w:t>
      </w:r>
      <w:r w:rsidRPr="008E20FF">
        <w:rPr>
          <w:b w:val="0"/>
          <w:caps w:val="0"/>
        </w:rPr>
        <w:t>.</w:t>
      </w:r>
    </w:p>
    <w:p w:rsidR="004A0A35" w:rsidRDefault="004A0A35" w:rsidP="008E20FF">
      <w:pPr>
        <w:jc w:val="both"/>
        <w:rPr>
          <w:b w:val="0"/>
          <w:caps w:val="0"/>
        </w:rPr>
      </w:pPr>
    </w:p>
    <w:p w:rsidR="00F91F06" w:rsidRDefault="00F91F06" w:rsidP="008E20FF">
      <w:pPr>
        <w:jc w:val="both"/>
        <w:rPr>
          <w:b w:val="0"/>
          <w:caps w:val="0"/>
        </w:rPr>
      </w:pPr>
      <w:r>
        <w:rPr>
          <w:b w:val="0"/>
          <w:caps w:val="0"/>
        </w:rPr>
        <w:t xml:space="preserve">5. A partir de los datos de la tabla 1, estimar la dependencia con Z del coeficiente de atenuación. Comparar el resultado obtenido con la predicción </w:t>
      </w:r>
      <w:r w:rsidR="00AC7A86">
        <w:rPr>
          <w:b w:val="0"/>
          <w:caps w:val="0"/>
        </w:rPr>
        <w:t>teórica para la dependencia del coeficiente de atenuación con Z.</w:t>
      </w:r>
    </w:p>
    <w:p w:rsidR="00F91F06" w:rsidRDefault="00F91F06" w:rsidP="008E20FF">
      <w:pPr>
        <w:jc w:val="both"/>
        <w:rPr>
          <w:b w:val="0"/>
          <w:caps w:val="0"/>
        </w:rPr>
      </w:pPr>
    </w:p>
    <w:tbl>
      <w:tblPr>
        <w:tblStyle w:val="Tablaconcuadrcula"/>
        <w:tblW w:w="0" w:type="auto"/>
        <w:tblInd w:w="2004" w:type="dxa"/>
        <w:tblLook w:val="04A0" w:firstRow="1" w:lastRow="0" w:firstColumn="1" w:lastColumn="0" w:noHBand="0" w:noVBand="1"/>
      </w:tblPr>
      <w:tblGrid>
        <w:gridCol w:w="1334"/>
        <w:gridCol w:w="3512"/>
      </w:tblGrid>
      <w:tr w:rsidR="00F91F06" w:rsidRPr="00F91F06" w:rsidTr="007A5028">
        <w:tc>
          <w:tcPr>
            <w:tcW w:w="1334" w:type="dxa"/>
            <w:vAlign w:val="center"/>
          </w:tcPr>
          <w:p w:rsidR="00F91F06" w:rsidRPr="00F91F06" w:rsidRDefault="00F91F06" w:rsidP="007A5028">
            <w:pPr>
              <w:jc w:val="center"/>
              <w:rPr>
                <w:i/>
                <w:caps w:val="0"/>
              </w:rPr>
            </w:pPr>
            <w:r w:rsidRPr="00F91F06">
              <w:rPr>
                <w:i/>
                <w:caps w:val="0"/>
              </w:rPr>
              <w:t>Elemento</w:t>
            </w:r>
          </w:p>
        </w:tc>
        <w:tc>
          <w:tcPr>
            <w:tcW w:w="3512" w:type="dxa"/>
            <w:vAlign w:val="center"/>
          </w:tcPr>
          <w:p w:rsidR="00F91F06" w:rsidRPr="00F91F06" w:rsidRDefault="00F91F06" w:rsidP="007A5028">
            <w:pPr>
              <w:jc w:val="center"/>
              <w:rPr>
                <w:i/>
              </w:rPr>
            </w:pPr>
            <w:r w:rsidRPr="00F91F06">
              <w:rPr>
                <w:i/>
                <w:caps w:val="0"/>
              </w:rPr>
              <w:t>Coef. de atenuación / cm</w:t>
            </w:r>
            <w:r w:rsidRPr="00F91F06">
              <w:rPr>
                <w:i/>
                <w:caps w:val="0"/>
                <w:vertAlign w:val="superscript"/>
              </w:rPr>
              <w:t>2</w:t>
            </w:r>
            <w:r w:rsidRPr="00F91F06">
              <w:rPr>
                <w:i/>
                <w:caps w:val="0"/>
              </w:rPr>
              <w:t>/g</w:t>
            </w:r>
          </w:p>
        </w:tc>
      </w:tr>
      <w:tr w:rsidR="00F91F06" w:rsidRPr="00F91F06" w:rsidTr="007A5028">
        <w:tc>
          <w:tcPr>
            <w:tcW w:w="1334" w:type="dxa"/>
            <w:vAlign w:val="center"/>
          </w:tcPr>
          <w:p w:rsidR="00F91F06" w:rsidRPr="00F91F06" w:rsidRDefault="00F91F06" w:rsidP="007A5028">
            <w:pPr>
              <w:jc w:val="center"/>
              <w:rPr>
                <w:b w:val="0"/>
                <w:i/>
                <w:caps w:val="0"/>
              </w:rPr>
            </w:pPr>
            <w:r w:rsidRPr="00F91F06">
              <w:rPr>
                <w:b w:val="0"/>
                <w:i/>
                <w:caps w:val="0"/>
              </w:rPr>
              <w:t>Ca</w:t>
            </w:r>
          </w:p>
        </w:tc>
        <w:tc>
          <w:tcPr>
            <w:tcW w:w="3512" w:type="dxa"/>
            <w:vAlign w:val="center"/>
          </w:tcPr>
          <w:p w:rsidR="00F91F06" w:rsidRPr="00F91F06" w:rsidRDefault="00F91F06" w:rsidP="007A5028">
            <w:pPr>
              <w:jc w:val="center"/>
              <w:rPr>
                <w:b w:val="0"/>
                <w:i/>
              </w:rPr>
            </w:pPr>
            <w:r w:rsidRPr="00F91F06">
              <w:rPr>
                <w:b w:val="0"/>
                <w:i/>
              </w:rPr>
              <w:t>8.765E-02</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Al</w:t>
            </w:r>
          </w:p>
        </w:tc>
        <w:tc>
          <w:tcPr>
            <w:tcW w:w="3512" w:type="dxa"/>
            <w:vAlign w:val="center"/>
          </w:tcPr>
          <w:p w:rsidR="00F91F06" w:rsidRPr="00F91F06" w:rsidRDefault="00F91F06" w:rsidP="007A5028">
            <w:pPr>
              <w:jc w:val="center"/>
              <w:rPr>
                <w:b w:val="0"/>
                <w:i/>
              </w:rPr>
            </w:pPr>
            <w:r w:rsidRPr="00F91F06">
              <w:rPr>
                <w:b w:val="0"/>
                <w:i/>
              </w:rPr>
              <w:t>8.367E-02</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Fe</w:t>
            </w:r>
          </w:p>
        </w:tc>
        <w:tc>
          <w:tcPr>
            <w:tcW w:w="3512" w:type="dxa"/>
            <w:vAlign w:val="center"/>
          </w:tcPr>
          <w:p w:rsidR="00F91F06" w:rsidRPr="00F91F06" w:rsidRDefault="00F91F06" w:rsidP="007A5028">
            <w:pPr>
              <w:jc w:val="center"/>
              <w:rPr>
                <w:b w:val="0"/>
                <w:i/>
              </w:rPr>
            </w:pPr>
            <w:r w:rsidRPr="00F91F06">
              <w:rPr>
                <w:b w:val="0"/>
                <w:i/>
              </w:rPr>
              <w:t>8.326E-02</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As</w:t>
            </w:r>
          </w:p>
        </w:tc>
        <w:tc>
          <w:tcPr>
            <w:tcW w:w="3512" w:type="dxa"/>
            <w:vAlign w:val="center"/>
          </w:tcPr>
          <w:p w:rsidR="00F91F06" w:rsidRPr="00F91F06" w:rsidRDefault="00F91F06" w:rsidP="007A5028">
            <w:pPr>
              <w:jc w:val="center"/>
              <w:rPr>
                <w:b w:val="0"/>
                <w:i/>
              </w:rPr>
            </w:pPr>
            <w:r w:rsidRPr="00F91F06">
              <w:rPr>
                <w:b w:val="0"/>
                <w:i/>
              </w:rPr>
              <w:t>8.160E-02</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Sr</w:t>
            </w:r>
          </w:p>
        </w:tc>
        <w:tc>
          <w:tcPr>
            <w:tcW w:w="3512" w:type="dxa"/>
            <w:vAlign w:val="center"/>
          </w:tcPr>
          <w:p w:rsidR="00F91F06" w:rsidRPr="00F91F06" w:rsidRDefault="00F91F06" w:rsidP="007A5028">
            <w:pPr>
              <w:jc w:val="center"/>
              <w:rPr>
                <w:b w:val="0"/>
                <w:i/>
              </w:rPr>
            </w:pPr>
            <w:r w:rsidRPr="00F91F06">
              <w:rPr>
                <w:b w:val="0"/>
                <w:i/>
              </w:rPr>
              <w:t>8.330E-02</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Nd</w:t>
            </w:r>
          </w:p>
        </w:tc>
        <w:tc>
          <w:tcPr>
            <w:tcW w:w="3512" w:type="dxa"/>
            <w:vAlign w:val="center"/>
          </w:tcPr>
          <w:p w:rsidR="00F91F06" w:rsidRPr="00F91F06" w:rsidRDefault="00F91F06" w:rsidP="007A5028">
            <w:pPr>
              <w:jc w:val="center"/>
              <w:rPr>
                <w:b w:val="0"/>
                <w:i/>
              </w:rPr>
            </w:pPr>
            <w:r w:rsidRPr="00F91F06">
              <w:rPr>
                <w:b w:val="0"/>
                <w:i/>
              </w:rPr>
              <w:t>1.058E-01</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Y</w:t>
            </w:r>
          </w:p>
        </w:tc>
        <w:tc>
          <w:tcPr>
            <w:tcW w:w="3512" w:type="dxa"/>
            <w:vAlign w:val="center"/>
          </w:tcPr>
          <w:p w:rsidR="00F91F06" w:rsidRPr="00F91F06" w:rsidRDefault="00F91F06" w:rsidP="007A5028">
            <w:pPr>
              <w:jc w:val="center"/>
              <w:rPr>
                <w:b w:val="0"/>
                <w:i/>
              </w:rPr>
            </w:pPr>
            <w:r w:rsidRPr="00F91F06">
              <w:rPr>
                <w:b w:val="0"/>
                <w:i/>
              </w:rPr>
              <w:t>1.240E-01</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Pb</w:t>
            </w:r>
          </w:p>
        </w:tc>
        <w:tc>
          <w:tcPr>
            <w:tcW w:w="3512" w:type="dxa"/>
            <w:vAlign w:val="center"/>
          </w:tcPr>
          <w:p w:rsidR="00F91F06" w:rsidRPr="00F91F06" w:rsidRDefault="00F91F06" w:rsidP="007A5028">
            <w:pPr>
              <w:jc w:val="center"/>
              <w:rPr>
                <w:b w:val="0"/>
                <w:i/>
              </w:rPr>
            </w:pPr>
            <w:r w:rsidRPr="00F91F06">
              <w:rPr>
                <w:b w:val="0"/>
                <w:i/>
              </w:rPr>
              <w:t>1.562E-01</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U</w:t>
            </w:r>
          </w:p>
        </w:tc>
        <w:tc>
          <w:tcPr>
            <w:tcW w:w="3512" w:type="dxa"/>
            <w:vAlign w:val="center"/>
          </w:tcPr>
          <w:p w:rsidR="00F91F06" w:rsidRPr="00F91F06" w:rsidRDefault="00F91F06" w:rsidP="007A5028">
            <w:pPr>
              <w:jc w:val="center"/>
              <w:rPr>
                <w:b w:val="0"/>
                <w:i/>
              </w:rPr>
            </w:pPr>
            <w:r w:rsidRPr="00F91F06">
              <w:rPr>
                <w:b w:val="0"/>
                <w:i/>
              </w:rPr>
              <w:t>1.907E-01</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Cf</w:t>
            </w:r>
          </w:p>
        </w:tc>
        <w:tc>
          <w:tcPr>
            <w:tcW w:w="3512" w:type="dxa"/>
            <w:vAlign w:val="center"/>
          </w:tcPr>
          <w:p w:rsidR="00F91F06" w:rsidRPr="00F91F06" w:rsidRDefault="00F91F06" w:rsidP="007A5028">
            <w:pPr>
              <w:jc w:val="center"/>
              <w:rPr>
                <w:b w:val="0"/>
                <w:i/>
              </w:rPr>
            </w:pPr>
            <w:r w:rsidRPr="00F91F06">
              <w:rPr>
                <w:b w:val="0"/>
                <w:i/>
              </w:rPr>
              <w:t>2.206E-01</w:t>
            </w:r>
          </w:p>
        </w:tc>
      </w:tr>
      <w:tr w:rsidR="00F91F06" w:rsidRPr="00F91F06" w:rsidTr="007A5028">
        <w:tc>
          <w:tcPr>
            <w:tcW w:w="1334" w:type="dxa"/>
            <w:vAlign w:val="center"/>
          </w:tcPr>
          <w:p w:rsidR="00F91F06" w:rsidRPr="00F91F06" w:rsidRDefault="00F91F06" w:rsidP="007A5028">
            <w:pPr>
              <w:jc w:val="center"/>
              <w:rPr>
                <w:b w:val="0"/>
                <w:i/>
                <w:caps w:val="0"/>
                <w:lang w:val="es-AR"/>
              </w:rPr>
            </w:pPr>
            <w:r w:rsidRPr="00F91F06">
              <w:rPr>
                <w:b w:val="0"/>
                <w:i/>
                <w:caps w:val="0"/>
                <w:lang w:val="es-AR"/>
              </w:rPr>
              <w:t>Sb</w:t>
            </w:r>
          </w:p>
        </w:tc>
        <w:tc>
          <w:tcPr>
            <w:tcW w:w="3512" w:type="dxa"/>
            <w:vAlign w:val="center"/>
          </w:tcPr>
          <w:p w:rsidR="00F91F06" w:rsidRPr="00F91F06" w:rsidRDefault="00F91F06" w:rsidP="007A5028">
            <w:pPr>
              <w:jc w:val="center"/>
              <w:rPr>
                <w:b w:val="0"/>
                <w:i/>
              </w:rPr>
            </w:pPr>
            <w:r w:rsidRPr="00F91F06">
              <w:rPr>
                <w:b w:val="0"/>
                <w:i/>
              </w:rPr>
              <w:t>9.277E-02</w:t>
            </w:r>
          </w:p>
        </w:tc>
      </w:tr>
    </w:tbl>
    <w:p w:rsidR="008E20FF" w:rsidRPr="00F91F06" w:rsidRDefault="00F91F06" w:rsidP="00F91F06">
      <w:pPr>
        <w:jc w:val="center"/>
        <w:rPr>
          <w:b w:val="0"/>
          <w:i/>
          <w:caps w:val="0"/>
        </w:rPr>
      </w:pPr>
      <w:r w:rsidRPr="00F91F06">
        <w:rPr>
          <w:b w:val="0"/>
          <w:i/>
          <w:caps w:val="0"/>
        </w:rPr>
        <w:t>Tabla 1</w:t>
      </w:r>
    </w:p>
    <w:p w:rsidR="00F91F06" w:rsidRDefault="00F91F06" w:rsidP="008E20FF">
      <w:pPr>
        <w:jc w:val="both"/>
        <w:rPr>
          <w:b w:val="0"/>
          <w:caps w:val="0"/>
        </w:rPr>
      </w:pPr>
    </w:p>
    <w:p w:rsidR="008E20FF" w:rsidRPr="000616BF" w:rsidRDefault="00F91F06" w:rsidP="008E20FF">
      <w:pPr>
        <w:jc w:val="both"/>
        <w:rPr>
          <w:b w:val="0"/>
          <w:caps w:val="0"/>
        </w:rPr>
      </w:pPr>
      <w:r>
        <w:rPr>
          <w:b w:val="0"/>
          <w:caps w:val="0"/>
        </w:rPr>
        <w:t>6</w:t>
      </w:r>
      <w:r w:rsidR="004A0A35">
        <w:rPr>
          <w:b w:val="0"/>
          <w:caps w:val="0"/>
        </w:rPr>
        <w:t xml:space="preserve">. </w:t>
      </w:r>
      <w:r w:rsidR="008E20FF" w:rsidRPr="008E20FF">
        <w:rPr>
          <w:b w:val="0"/>
          <w:caps w:val="0"/>
        </w:rPr>
        <w:t>Utilizar la base de datos “XCOM: Photon Cross Section Database” del NIST</w:t>
      </w:r>
      <w:r w:rsidR="008E20FF">
        <w:rPr>
          <w:rStyle w:val="Refdenotaalfinal"/>
          <w:b w:val="0"/>
          <w:caps w:val="0"/>
        </w:rPr>
        <w:endnoteReference w:id="1"/>
      </w:r>
      <w:r w:rsidR="008E20FF">
        <w:rPr>
          <w:b w:val="0"/>
          <w:caps w:val="0"/>
        </w:rPr>
        <w:t xml:space="preserve">  o similar </w:t>
      </w:r>
      <w:r w:rsidR="008E20FF" w:rsidRPr="008E20FF">
        <w:rPr>
          <w:b w:val="0"/>
          <w:caps w:val="0"/>
        </w:rPr>
        <w:t xml:space="preserve"> y estudiar la</w:t>
      </w:r>
      <w:r w:rsidR="008E20FF">
        <w:rPr>
          <w:b w:val="0"/>
          <w:caps w:val="0"/>
        </w:rPr>
        <w:t xml:space="preserve"> </w:t>
      </w:r>
      <w:r w:rsidR="008E20FF" w:rsidRPr="008E20FF">
        <w:rPr>
          <w:b w:val="0"/>
          <w:caps w:val="0"/>
        </w:rPr>
        <w:t>absorción másica de fotones con energías entre 50keV y 10 MeV en plomo. Obtener el coeficiente  de absorción másica para una energía de 500 keV así y la contribución a la misma de los diferentes tipos de interacciones (fotoelectrico, Compton y producción de pares).  ¿Que espesor de plomo</w:t>
      </w:r>
      <w:r w:rsidR="008E20FF">
        <w:rPr>
          <w:b w:val="0"/>
          <w:caps w:val="0"/>
        </w:rPr>
        <w:t xml:space="preserve"> </w:t>
      </w:r>
      <w:r w:rsidR="008E20FF" w:rsidRPr="008E20FF">
        <w:rPr>
          <w:b w:val="0"/>
          <w:caps w:val="0"/>
        </w:rPr>
        <w:t>elimina el 99% de  fotones de esa energía?</w:t>
      </w:r>
    </w:p>
    <w:p w:rsidR="000616BF" w:rsidRDefault="000616BF" w:rsidP="000616BF">
      <w:pPr>
        <w:jc w:val="both"/>
        <w:rPr>
          <w:b w:val="0"/>
          <w:caps w:val="0"/>
        </w:rPr>
      </w:pPr>
    </w:p>
    <w:p w:rsidR="00AC7A86" w:rsidRDefault="00AC7A86" w:rsidP="000616BF">
      <w:pPr>
        <w:jc w:val="both"/>
        <w:rPr>
          <w:b w:val="0"/>
          <w:caps w:val="0"/>
        </w:rPr>
      </w:pPr>
      <w:r>
        <w:rPr>
          <w:b w:val="0"/>
          <w:caps w:val="0"/>
        </w:rPr>
        <w:lastRenderedPageBreak/>
        <w:t>7. A partir de la intensidad med</w:t>
      </w:r>
      <w:r w:rsidR="00354BE3">
        <w:rPr>
          <w:b w:val="0"/>
          <w:caps w:val="0"/>
        </w:rPr>
        <w:t>ida en función del espesor de Pb</w:t>
      </w:r>
      <w:r>
        <w:rPr>
          <w:b w:val="0"/>
          <w:caps w:val="0"/>
        </w:rPr>
        <w:t xml:space="preserve"> intercalado entre una fuente de </w:t>
      </w:r>
      <w:r w:rsidRPr="00354BE3">
        <w:rPr>
          <w:b w:val="0"/>
          <w:caps w:val="0"/>
          <w:vertAlign w:val="superscript"/>
        </w:rPr>
        <w:t>137</w:t>
      </w:r>
      <w:r>
        <w:rPr>
          <w:b w:val="0"/>
          <w:caps w:val="0"/>
        </w:rPr>
        <w:t>Cs el detector, mostrado en la tabla 2, estimar el coeficiente de atenuación lineal del Pb para la energía utilizada. Comparar el dato obtenido con la bibliografía.</w:t>
      </w:r>
    </w:p>
    <w:p w:rsidR="00AC7A86" w:rsidRDefault="00AC7A86" w:rsidP="000616BF">
      <w:pPr>
        <w:jc w:val="both"/>
        <w:rPr>
          <w:b w:val="0"/>
          <w:caps w:val="0"/>
        </w:rPr>
      </w:pPr>
    </w:p>
    <w:tbl>
      <w:tblPr>
        <w:tblStyle w:val="Tablaconcuadrcula"/>
        <w:tblW w:w="0" w:type="auto"/>
        <w:jc w:val="center"/>
        <w:tblLook w:val="04A0" w:firstRow="1" w:lastRow="0" w:firstColumn="1" w:lastColumn="0" w:noHBand="0" w:noVBand="1"/>
      </w:tblPr>
      <w:tblGrid>
        <w:gridCol w:w="1278"/>
        <w:gridCol w:w="849"/>
        <w:gridCol w:w="960"/>
      </w:tblGrid>
      <w:tr w:rsidR="00AC7A86" w:rsidRPr="00AC7A86" w:rsidTr="00425B48">
        <w:trPr>
          <w:trHeight w:val="300"/>
          <w:jc w:val="center"/>
        </w:trPr>
        <w:tc>
          <w:tcPr>
            <w:tcW w:w="1278" w:type="dxa"/>
            <w:noWrap/>
            <w:vAlign w:val="center"/>
          </w:tcPr>
          <w:p w:rsidR="00AC7A86" w:rsidRPr="00AC7A86" w:rsidRDefault="00AC7A86" w:rsidP="00AC7A86">
            <w:pPr>
              <w:jc w:val="center"/>
              <w:rPr>
                <w:i/>
                <w:caps w:val="0"/>
              </w:rPr>
            </w:pPr>
            <w:r w:rsidRPr="00AC7A86">
              <w:rPr>
                <w:i/>
                <w:caps w:val="0"/>
              </w:rPr>
              <w:t>d / cm</w:t>
            </w:r>
          </w:p>
        </w:tc>
        <w:tc>
          <w:tcPr>
            <w:tcW w:w="849" w:type="dxa"/>
            <w:noWrap/>
            <w:vAlign w:val="center"/>
          </w:tcPr>
          <w:p w:rsidR="00AC7A86" w:rsidRPr="00AC7A86" w:rsidRDefault="00AC7A86" w:rsidP="00AC7A86">
            <w:pPr>
              <w:jc w:val="center"/>
              <w:rPr>
                <w:i/>
                <w:caps w:val="0"/>
              </w:rPr>
            </w:pPr>
            <w:r w:rsidRPr="00AC7A86">
              <w:rPr>
                <w:i/>
                <w:caps w:val="0"/>
              </w:rPr>
              <w:t>Area</w:t>
            </w:r>
          </w:p>
        </w:tc>
        <w:tc>
          <w:tcPr>
            <w:tcW w:w="960" w:type="dxa"/>
            <w:noWrap/>
            <w:vAlign w:val="center"/>
          </w:tcPr>
          <w:p w:rsidR="00AC7A86" w:rsidRPr="00AC7A86" w:rsidRDefault="00AC7A86" w:rsidP="00AC7A86">
            <w:pPr>
              <w:jc w:val="center"/>
              <w:rPr>
                <w:i/>
                <w:caps w:val="0"/>
              </w:rPr>
            </w:pPr>
            <w:r w:rsidRPr="00AC7A86">
              <w:rPr>
                <w:i/>
                <w:caps w:val="0"/>
              </w:rPr>
              <w:t>Error</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w:t>
            </w:r>
          </w:p>
        </w:tc>
        <w:tc>
          <w:tcPr>
            <w:tcW w:w="849" w:type="dxa"/>
            <w:noWrap/>
            <w:vAlign w:val="center"/>
            <w:hideMark/>
          </w:tcPr>
          <w:p w:rsidR="00AC7A86" w:rsidRPr="00AC7A86" w:rsidRDefault="00AC7A86" w:rsidP="00AC7A86">
            <w:pPr>
              <w:jc w:val="center"/>
              <w:rPr>
                <w:b w:val="0"/>
                <w:i/>
                <w:caps w:val="0"/>
              </w:rPr>
            </w:pPr>
            <w:r w:rsidRPr="00AC7A86">
              <w:rPr>
                <w:b w:val="0"/>
                <w:i/>
                <w:caps w:val="0"/>
              </w:rPr>
              <w:t>34.9</w:t>
            </w:r>
          </w:p>
        </w:tc>
        <w:tc>
          <w:tcPr>
            <w:tcW w:w="960" w:type="dxa"/>
            <w:noWrap/>
            <w:vAlign w:val="center"/>
            <w:hideMark/>
          </w:tcPr>
          <w:p w:rsidR="00AC7A86" w:rsidRPr="00AC7A86" w:rsidRDefault="00AC7A86" w:rsidP="00AC7A86">
            <w:pPr>
              <w:jc w:val="center"/>
              <w:rPr>
                <w:b w:val="0"/>
                <w:i/>
                <w:caps w:val="0"/>
              </w:rPr>
            </w:pPr>
            <w:r w:rsidRPr="00AC7A86">
              <w:rPr>
                <w:b w:val="0"/>
                <w:i/>
                <w:caps w:val="0"/>
              </w:rPr>
              <w:t>0.3</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6.70E-04</w:t>
            </w:r>
          </w:p>
        </w:tc>
        <w:tc>
          <w:tcPr>
            <w:tcW w:w="849" w:type="dxa"/>
            <w:noWrap/>
            <w:vAlign w:val="center"/>
            <w:hideMark/>
          </w:tcPr>
          <w:p w:rsidR="00AC7A86" w:rsidRPr="00AC7A86" w:rsidRDefault="00AC7A86" w:rsidP="00AC7A86">
            <w:pPr>
              <w:jc w:val="center"/>
              <w:rPr>
                <w:b w:val="0"/>
                <w:i/>
                <w:caps w:val="0"/>
              </w:rPr>
            </w:pPr>
            <w:r w:rsidRPr="00AC7A86">
              <w:rPr>
                <w:b w:val="0"/>
                <w:i/>
                <w:caps w:val="0"/>
              </w:rPr>
              <w:t>33.3</w:t>
            </w:r>
          </w:p>
        </w:tc>
        <w:tc>
          <w:tcPr>
            <w:tcW w:w="960" w:type="dxa"/>
            <w:noWrap/>
            <w:vAlign w:val="center"/>
            <w:hideMark/>
          </w:tcPr>
          <w:p w:rsidR="00AC7A86" w:rsidRPr="00AC7A86" w:rsidRDefault="00AC7A86" w:rsidP="00AC7A86">
            <w:pPr>
              <w:jc w:val="center"/>
              <w:rPr>
                <w:b w:val="0"/>
                <w:i/>
                <w:caps w:val="0"/>
              </w:rPr>
            </w:pPr>
            <w:r w:rsidRPr="00AC7A86">
              <w:rPr>
                <w:b w:val="0"/>
                <w:i/>
                <w:caps w:val="0"/>
              </w:rPr>
              <w:t>0.7</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0.111</w:t>
            </w:r>
          </w:p>
        </w:tc>
        <w:tc>
          <w:tcPr>
            <w:tcW w:w="849" w:type="dxa"/>
            <w:noWrap/>
            <w:vAlign w:val="center"/>
            <w:hideMark/>
          </w:tcPr>
          <w:p w:rsidR="00AC7A86" w:rsidRPr="00AC7A86" w:rsidRDefault="00AC7A86" w:rsidP="00AC7A86">
            <w:pPr>
              <w:jc w:val="center"/>
              <w:rPr>
                <w:b w:val="0"/>
                <w:i/>
                <w:caps w:val="0"/>
              </w:rPr>
            </w:pPr>
            <w:r w:rsidRPr="00AC7A86">
              <w:rPr>
                <w:b w:val="0"/>
                <w:i/>
                <w:caps w:val="0"/>
              </w:rPr>
              <w:t>32.3</w:t>
            </w:r>
          </w:p>
        </w:tc>
        <w:tc>
          <w:tcPr>
            <w:tcW w:w="960" w:type="dxa"/>
            <w:noWrap/>
            <w:vAlign w:val="center"/>
            <w:hideMark/>
          </w:tcPr>
          <w:p w:rsidR="00AC7A86" w:rsidRPr="00AC7A86" w:rsidRDefault="00AC7A86" w:rsidP="00AC7A86">
            <w:pPr>
              <w:jc w:val="center"/>
              <w:rPr>
                <w:b w:val="0"/>
                <w:i/>
                <w:caps w:val="0"/>
              </w:rPr>
            </w:pPr>
            <w:r w:rsidRPr="00AC7A86">
              <w:rPr>
                <w:b w:val="0"/>
                <w:i/>
                <w:caps w:val="0"/>
              </w:rPr>
              <w:t>0.6</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0.276</w:t>
            </w:r>
          </w:p>
        </w:tc>
        <w:tc>
          <w:tcPr>
            <w:tcW w:w="849" w:type="dxa"/>
            <w:noWrap/>
            <w:vAlign w:val="center"/>
            <w:hideMark/>
          </w:tcPr>
          <w:p w:rsidR="00AC7A86" w:rsidRPr="00AC7A86" w:rsidRDefault="00AC7A86" w:rsidP="00AC7A86">
            <w:pPr>
              <w:jc w:val="center"/>
              <w:rPr>
                <w:b w:val="0"/>
                <w:i/>
                <w:caps w:val="0"/>
              </w:rPr>
            </w:pPr>
            <w:r w:rsidRPr="00AC7A86">
              <w:rPr>
                <w:b w:val="0"/>
                <w:i/>
                <w:caps w:val="0"/>
              </w:rPr>
              <w:t>28.7</w:t>
            </w:r>
          </w:p>
        </w:tc>
        <w:tc>
          <w:tcPr>
            <w:tcW w:w="960" w:type="dxa"/>
            <w:noWrap/>
            <w:vAlign w:val="center"/>
            <w:hideMark/>
          </w:tcPr>
          <w:p w:rsidR="00AC7A86" w:rsidRPr="00AC7A86" w:rsidRDefault="00AC7A86" w:rsidP="00AC7A86">
            <w:pPr>
              <w:jc w:val="center"/>
              <w:rPr>
                <w:b w:val="0"/>
                <w:i/>
                <w:caps w:val="0"/>
              </w:rPr>
            </w:pPr>
            <w:r w:rsidRPr="00AC7A86">
              <w:rPr>
                <w:b w:val="0"/>
                <w:i/>
                <w:caps w:val="0"/>
              </w:rPr>
              <w:t>0.6</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0.453</w:t>
            </w:r>
          </w:p>
        </w:tc>
        <w:tc>
          <w:tcPr>
            <w:tcW w:w="849" w:type="dxa"/>
            <w:noWrap/>
            <w:vAlign w:val="center"/>
            <w:hideMark/>
          </w:tcPr>
          <w:p w:rsidR="00AC7A86" w:rsidRPr="00AC7A86" w:rsidRDefault="00AC7A86" w:rsidP="00AC7A86">
            <w:pPr>
              <w:jc w:val="center"/>
              <w:rPr>
                <w:b w:val="0"/>
                <w:i/>
                <w:caps w:val="0"/>
              </w:rPr>
            </w:pPr>
            <w:r w:rsidRPr="00AC7A86">
              <w:rPr>
                <w:b w:val="0"/>
                <w:i/>
                <w:caps w:val="0"/>
              </w:rPr>
              <w:t>25.3</w:t>
            </w:r>
          </w:p>
        </w:tc>
        <w:tc>
          <w:tcPr>
            <w:tcW w:w="960" w:type="dxa"/>
            <w:noWrap/>
            <w:vAlign w:val="center"/>
            <w:hideMark/>
          </w:tcPr>
          <w:p w:rsidR="00AC7A86" w:rsidRPr="00AC7A86" w:rsidRDefault="00AC7A86" w:rsidP="00AC7A86">
            <w:pPr>
              <w:jc w:val="center"/>
              <w:rPr>
                <w:b w:val="0"/>
                <w:i/>
                <w:caps w:val="0"/>
              </w:rPr>
            </w:pPr>
            <w:r w:rsidRPr="00AC7A86">
              <w:rPr>
                <w:b w:val="0"/>
                <w:i/>
                <w:caps w:val="0"/>
              </w:rPr>
              <w:t>0.5</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0.593</w:t>
            </w:r>
          </w:p>
        </w:tc>
        <w:tc>
          <w:tcPr>
            <w:tcW w:w="849" w:type="dxa"/>
            <w:noWrap/>
            <w:vAlign w:val="center"/>
            <w:hideMark/>
          </w:tcPr>
          <w:p w:rsidR="00AC7A86" w:rsidRPr="00AC7A86" w:rsidRDefault="00AC7A86" w:rsidP="00AC7A86">
            <w:pPr>
              <w:jc w:val="center"/>
              <w:rPr>
                <w:b w:val="0"/>
                <w:i/>
                <w:caps w:val="0"/>
              </w:rPr>
            </w:pPr>
            <w:r w:rsidRPr="00AC7A86">
              <w:rPr>
                <w:b w:val="0"/>
                <w:i/>
                <w:caps w:val="0"/>
              </w:rPr>
              <w:t>22.9</w:t>
            </w:r>
          </w:p>
        </w:tc>
        <w:tc>
          <w:tcPr>
            <w:tcW w:w="960" w:type="dxa"/>
            <w:noWrap/>
            <w:vAlign w:val="center"/>
            <w:hideMark/>
          </w:tcPr>
          <w:p w:rsidR="00AC7A86" w:rsidRPr="00AC7A86" w:rsidRDefault="00AC7A86" w:rsidP="00AC7A86">
            <w:pPr>
              <w:jc w:val="center"/>
              <w:rPr>
                <w:b w:val="0"/>
                <w:i/>
                <w:caps w:val="0"/>
              </w:rPr>
            </w:pPr>
            <w:r w:rsidRPr="00AC7A86">
              <w:rPr>
                <w:b w:val="0"/>
                <w:i/>
                <w:caps w:val="0"/>
              </w:rPr>
              <w:t>0.5</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0.696</w:t>
            </w:r>
          </w:p>
        </w:tc>
        <w:tc>
          <w:tcPr>
            <w:tcW w:w="849" w:type="dxa"/>
            <w:noWrap/>
            <w:vAlign w:val="center"/>
            <w:hideMark/>
          </w:tcPr>
          <w:p w:rsidR="00AC7A86" w:rsidRPr="00AC7A86" w:rsidRDefault="00AC7A86" w:rsidP="00AC7A86">
            <w:pPr>
              <w:jc w:val="center"/>
              <w:rPr>
                <w:b w:val="0"/>
                <w:i/>
                <w:caps w:val="0"/>
              </w:rPr>
            </w:pPr>
            <w:r w:rsidRPr="00AC7A86">
              <w:rPr>
                <w:b w:val="0"/>
                <w:i/>
                <w:caps w:val="0"/>
              </w:rPr>
              <w:t>21.3</w:t>
            </w:r>
          </w:p>
        </w:tc>
        <w:tc>
          <w:tcPr>
            <w:tcW w:w="960" w:type="dxa"/>
            <w:noWrap/>
            <w:vAlign w:val="center"/>
            <w:hideMark/>
          </w:tcPr>
          <w:p w:rsidR="00AC7A86" w:rsidRPr="00AC7A86" w:rsidRDefault="00AC7A86" w:rsidP="00AC7A86">
            <w:pPr>
              <w:jc w:val="center"/>
              <w:rPr>
                <w:b w:val="0"/>
                <w:i/>
                <w:caps w:val="0"/>
              </w:rPr>
            </w:pPr>
            <w:r w:rsidRPr="00AC7A86">
              <w:rPr>
                <w:b w:val="0"/>
                <w:i/>
                <w:caps w:val="0"/>
              </w:rPr>
              <w:t>0.4</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0.814</w:t>
            </w:r>
          </w:p>
        </w:tc>
        <w:tc>
          <w:tcPr>
            <w:tcW w:w="849" w:type="dxa"/>
            <w:noWrap/>
            <w:vAlign w:val="center"/>
            <w:hideMark/>
          </w:tcPr>
          <w:p w:rsidR="00AC7A86" w:rsidRPr="00AC7A86" w:rsidRDefault="00AC7A86" w:rsidP="00AC7A86">
            <w:pPr>
              <w:jc w:val="center"/>
              <w:rPr>
                <w:b w:val="0"/>
                <w:i/>
                <w:caps w:val="0"/>
              </w:rPr>
            </w:pPr>
            <w:r w:rsidRPr="00AC7A86">
              <w:rPr>
                <w:b w:val="0"/>
                <w:i/>
                <w:caps w:val="0"/>
              </w:rPr>
              <w:t>19.6</w:t>
            </w:r>
          </w:p>
        </w:tc>
        <w:tc>
          <w:tcPr>
            <w:tcW w:w="960" w:type="dxa"/>
            <w:noWrap/>
            <w:vAlign w:val="center"/>
            <w:hideMark/>
          </w:tcPr>
          <w:p w:rsidR="00AC7A86" w:rsidRPr="00AC7A86" w:rsidRDefault="00AC7A86" w:rsidP="00AC7A86">
            <w:pPr>
              <w:jc w:val="center"/>
              <w:rPr>
                <w:b w:val="0"/>
                <w:i/>
                <w:caps w:val="0"/>
              </w:rPr>
            </w:pPr>
            <w:r w:rsidRPr="00AC7A86">
              <w:rPr>
                <w:b w:val="0"/>
                <w:i/>
                <w:caps w:val="0"/>
              </w:rPr>
              <w:t>0.4</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0.937</w:t>
            </w:r>
          </w:p>
        </w:tc>
        <w:tc>
          <w:tcPr>
            <w:tcW w:w="849" w:type="dxa"/>
            <w:noWrap/>
            <w:vAlign w:val="center"/>
            <w:hideMark/>
          </w:tcPr>
          <w:p w:rsidR="00AC7A86" w:rsidRPr="00AC7A86" w:rsidRDefault="00AC7A86" w:rsidP="00AC7A86">
            <w:pPr>
              <w:jc w:val="center"/>
              <w:rPr>
                <w:b w:val="0"/>
                <w:i/>
                <w:caps w:val="0"/>
              </w:rPr>
            </w:pPr>
            <w:r w:rsidRPr="00AC7A86">
              <w:rPr>
                <w:b w:val="0"/>
                <w:i/>
                <w:caps w:val="0"/>
              </w:rPr>
              <w:t>18.0</w:t>
            </w:r>
          </w:p>
        </w:tc>
        <w:tc>
          <w:tcPr>
            <w:tcW w:w="960" w:type="dxa"/>
            <w:noWrap/>
            <w:vAlign w:val="center"/>
            <w:hideMark/>
          </w:tcPr>
          <w:p w:rsidR="00AC7A86" w:rsidRPr="00AC7A86" w:rsidRDefault="00AC7A86" w:rsidP="00AC7A86">
            <w:pPr>
              <w:jc w:val="center"/>
              <w:rPr>
                <w:b w:val="0"/>
                <w:i/>
                <w:caps w:val="0"/>
              </w:rPr>
            </w:pPr>
            <w:r w:rsidRPr="00AC7A86">
              <w:rPr>
                <w:b w:val="0"/>
                <w:i/>
                <w:caps w:val="0"/>
              </w:rPr>
              <w:t>0.4</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1</w:t>
            </w:r>
          </w:p>
        </w:tc>
        <w:tc>
          <w:tcPr>
            <w:tcW w:w="849" w:type="dxa"/>
            <w:noWrap/>
            <w:vAlign w:val="center"/>
            <w:hideMark/>
          </w:tcPr>
          <w:p w:rsidR="00AC7A86" w:rsidRPr="00AC7A86" w:rsidRDefault="00AC7A86" w:rsidP="00AC7A86">
            <w:pPr>
              <w:jc w:val="center"/>
              <w:rPr>
                <w:b w:val="0"/>
                <w:i/>
                <w:caps w:val="0"/>
              </w:rPr>
            </w:pPr>
            <w:r w:rsidRPr="00AC7A86">
              <w:rPr>
                <w:b w:val="0"/>
                <w:i/>
                <w:caps w:val="0"/>
              </w:rPr>
              <w:t>17.2</w:t>
            </w:r>
          </w:p>
        </w:tc>
        <w:tc>
          <w:tcPr>
            <w:tcW w:w="960" w:type="dxa"/>
            <w:noWrap/>
            <w:vAlign w:val="center"/>
            <w:hideMark/>
          </w:tcPr>
          <w:p w:rsidR="00AC7A86" w:rsidRPr="00AC7A86" w:rsidRDefault="00AC7A86" w:rsidP="00AC7A86">
            <w:pPr>
              <w:jc w:val="center"/>
              <w:rPr>
                <w:b w:val="0"/>
                <w:i/>
                <w:caps w:val="0"/>
              </w:rPr>
            </w:pPr>
            <w:r w:rsidRPr="00AC7A86">
              <w:rPr>
                <w:b w:val="0"/>
                <w:i/>
                <w:caps w:val="0"/>
              </w:rPr>
              <w:t>0.3</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1.2</w:t>
            </w:r>
          </w:p>
        </w:tc>
        <w:tc>
          <w:tcPr>
            <w:tcW w:w="849" w:type="dxa"/>
            <w:noWrap/>
            <w:vAlign w:val="center"/>
            <w:hideMark/>
          </w:tcPr>
          <w:p w:rsidR="00AC7A86" w:rsidRPr="00AC7A86" w:rsidRDefault="00AC7A86" w:rsidP="00AC7A86">
            <w:pPr>
              <w:jc w:val="center"/>
              <w:rPr>
                <w:b w:val="0"/>
                <w:i/>
                <w:caps w:val="0"/>
              </w:rPr>
            </w:pPr>
            <w:r w:rsidRPr="00AC7A86">
              <w:rPr>
                <w:b w:val="0"/>
                <w:i/>
                <w:caps w:val="0"/>
              </w:rPr>
              <w:t>14.9</w:t>
            </w:r>
          </w:p>
        </w:tc>
        <w:tc>
          <w:tcPr>
            <w:tcW w:w="960" w:type="dxa"/>
            <w:noWrap/>
            <w:vAlign w:val="center"/>
            <w:hideMark/>
          </w:tcPr>
          <w:p w:rsidR="00AC7A86" w:rsidRPr="00AC7A86" w:rsidRDefault="00AC7A86" w:rsidP="00AC7A86">
            <w:pPr>
              <w:jc w:val="center"/>
              <w:rPr>
                <w:b w:val="0"/>
                <w:i/>
                <w:caps w:val="0"/>
              </w:rPr>
            </w:pPr>
            <w:r w:rsidRPr="00AC7A86">
              <w:rPr>
                <w:b w:val="0"/>
                <w:i/>
                <w:caps w:val="0"/>
              </w:rPr>
              <w:t>0.3</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1.4</w:t>
            </w:r>
          </w:p>
        </w:tc>
        <w:tc>
          <w:tcPr>
            <w:tcW w:w="849" w:type="dxa"/>
            <w:noWrap/>
            <w:vAlign w:val="center"/>
            <w:hideMark/>
          </w:tcPr>
          <w:p w:rsidR="00AC7A86" w:rsidRPr="00AC7A86" w:rsidRDefault="00AC7A86" w:rsidP="00AC7A86">
            <w:pPr>
              <w:jc w:val="center"/>
              <w:rPr>
                <w:b w:val="0"/>
                <w:i/>
                <w:caps w:val="0"/>
              </w:rPr>
            </w:pPr>
            <w:r w:rsidRPr="00AC7A86">
              <w:rPr>
                <w:b w:val="0"/>
                <w:i/>
                <w:caps w:val="0"/>
              </w:rPr>
              <w:t>13.0</w:t>
            </w:r>
          </w:p>
        </w:tc>
        <w:tc>
          <w:tcPr>
            <w:tcW w:w="960" w:type="dxa"/>
            <w:noWrap/>
            <w:vAlign w:val="center"/>
            <w:hideMark/>
          </w:tcPr>
          <w:p w:rsidR="00AC7A86" w:rsidRPr="00AC7A86" w:rsidRDefault="00AC7A86" w:rsidP="00AC7A86">
            <w:pPr>
              <w:jc w:val="center"/>
              <w:rPr>
                <w:b w:val="0"/>
                <w:i/>
                <w:caps w:val="0"/>
              </w:rPr>
            </w:pPr>
            <w:r w:rsidRPr="00AC7A86">
              <w:rPr>
                <w:b w:val="0"/>
                <w:i/>
                <w:caps w:val="0"/>
              </w:rPr>
              <w:t>0.3</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1.6</w:t>
            </w:r>
          </w:p>
        </w:tc>
        <w:tc>
          <w:tcPr>
            <w:tcW w:w="849" w:type="dxa"/>
            <w:noWrap/>
            <w:vAlign w:val="center"/>
            <w:hideMark/>
          </w:tcPr>
          <w:p w:rsidR="00AC7A86" w:rsidRPr="00AC7A86" w:rsidRDefault="00AC7A86" w:rsidP="00AC7A86">
            <w:pPr>
              <w:jc w:val="center"/>
              <w:rPr>
                <w:b w:val="0"/>
                <w:i/>
                <w:caps w:val="0"/>
              </w:rPr>
            </w:pPr>
            <w:r w:rsidRPr="00AC7A86">
              <w:rPr>
                <w:b w:val="0"/>
                <w:i/>
                <w:caps w:val="0"/>
              </w:rPr>
              <w:t>11.2</w:t>
            </w:r>
          </w:p>
        </w:tc>
        <w:tc>
          <w:tcPr>
            <w:tcW w:w="960" w:type="dxa"/>
            <w:noWrap/>
            <w:vAlign w:val="center"/>
            <w:hideMark/>
          </w:tcPr>
          <w:p w:rsidR="00AC7A86" w:rsidRPr="00AC7A86" w:rsidRDefault="00AC7A86" w:rsidP="00AC7A86">
            <w:pPr>
              <w:jc w:val="center"/>
              <w:rPr>
                <w:b w:val="0"/>
                <w:i/>
                <w:caps w:val="0"/>
              </w:rPr>
            </w:pPr>
            <w:r w:rsidRPr="00AC7A86">
              <w:rPr>
                <w:b w:val="0"/>
                <w:i/>
                <w:caps w:val="0"/>
              </w:rPr>
              <w:t>0.2</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2</w:t>
            </w:r>
          </w:p>
        </w:tc>
        <w:tc>
          <w:tcPr>
            <w:tcW w:w="849" w:type="dxa"/>
            <w:noWrap/>
            <w:vAlign w:val="center"/>
            <w:hideMark/>
          </w:tcPr>
          <w:p w:rsidR="00AC7A86" w:rsidRPr="00AC7A86" w:rsidRDefault="00AC7A86" w:rsidP="00AC7A86">
            <w:pPr>
              <w:jc w:val="center"/>
              <w:rPr>
                <w:b w:val="0"/>
                <w:i/>
                <w:caps w:val="0"/>
              </w:rPr>
            </w:pPr>
            <w:r w:rsidRPr="00AC7A86">
              <w:rPr>
                <w:b w:val="0"/>
                <w:i/>
                <w:caps w:val="0"/>
              </w:rPr>
              <w:t>8.5</w:t>
            </w:r>
          </w:p>
        </w:tc>
        <w:tc>
          <w:tcPr>
            <w:tcW w:w="960" w:type="dxa"/>
            <w:noWrap/>
            <w:vAlign w:val="center"/>
            <w:hideMark/>
          </w:tcPr>
          <w:p w:rsidR="00AC7A86" w:rsidRPr="00AC7A86" w:rsidRDefault="00AC7A86" w:rsidP="00AC7A86">
            <w:pPr>
              <w:jc w:val="center"/>
              <w:rPr>
                <w:b w:val="0"/>
                <w:i/>
                <w:caps w:val="0"/>
              </w:rPr>
            </w:pPr>
            <w:r w:rsidRPr="00AC7A86">
              <w:rPr>
                <w:b w:val="0"/>
                <w:i/>
                <w:caps w:val="0"/>
              </w:rPr>
              <w:t>0.2</w:t>
            </w:r>
          </w:p>
        </w:tc>
      </w:tr>
      <w:tr w:rsidR="00AC7A86" w:rsidRPr="00AC7A86" w:rsidTr="00425B48">
        <w:trPr>
          <w:trHeight w:val="300"/>
          <w:jc w:val="center"/>
        </w:trPr>
        <w:tc>
          <w:tcPr>
            <w:tcW w:w="1278" w:type="dxa"/>
            <w:noWrap/>
            <w:vAlign w:val="center"/>
            <w:hideMark/>
          </w:tcPr>
          <w:p w:rsidR="00AC7A86" w:rsidRPr="00AC7A86" w:rsidRDefault="00AC7A86" w:rsidP="00AC7A86">
            <w:pPr>
              <w:jc w:val="center"/>
              <w:rPr>
                <w:b w:val="0"/>
                <w:i/>
                <w:caps w:val="0"/>
              </w:rPr>
            </w:pPr>
            <w:r w:rsidRPr="00AC7A86">
              <w:rPr>
                <w:b w:val="0"/>
                <w:i/>
                <w:caps w:val="0"/>
              </w:rPr>
              <w:t>2.6</w:t>
            </w:r>
          </w:p>
        </w:tc>
        <w:tc>
          <w:tcPr>
            <w:tcW w:w="849" w:type="dxa"/>
            <w:noWrap/>
            <w:vAlign w:val="center"/>
            <w:hideMark/>
          </w:tcPr>
          <w:p w:rsidR="00AC7A86" w:rsidRPr="00AC7A86" w:rsidRDefault="00AC7A86" w:rsidP="00AC7A86">
            <w:pPr>
              <w:jc w:val="center"/>
              <w:rPr>
                <w:b w:val="0"/>
                <w:i/>
                <w:caps w:val="0"/>
              </w:rPr>
            </w:pPr>
            <w:r w:rsidRPr="00AC7A86">
              <w:rPr>
                <w:b w:val="0"/>
                <w:i/>
                <w:caps w:val="0"/>
              </w:rPr>
              <w:t>5.5</w:t>
            </w:r>
          </w:p>
        </w:tc>
        <w:tc>
          <w:tcPr>
            <w:tcW w:w="960" w:type="dxa"/>
            <w:noWrap/>
            <w:vAlign w:val="center"/>
            <w:hideMark/>
          </w:tcPr>
          <w:p w:rsidR="00AC7A86" w:rsidRPr="00AC7A86" w:rsidRDefault="00AC7A86" w:rsidP="00AC7A86">
            <w:pPr>
              <w:jc w:val="center"/>
              <w:rPr>
                <w:b w:val="0"/>
                <w:i/>
                <w:caps w:val="0"/>
              </w:rPr>
            </w:pPr>
            <w:r w:rsidRPr="00AC7A86">
              <w:rPr>
                <w:b w:val="0"/>
                <w:i/>
                <w:caps w:val="0"/>
              </w:rPr>
              <w:t>0.1</w:t>
            </w:r>
          </w:p>
        </w:tc>
      </w:tr>
    </w:tbl>
    <w:p w:rsidR="00F15C9E" w:rsidRDefault="00AC7A86" w:rsidP="00F15C9E">
      <w:pPr>
        <w:jc w:val="center"/>
        <w:rPr>
          <w:b w:val="0"/>
          <w:i/>
          <w:caps w:val="0"/>
          <w:lang w:val="es-AR"/>
        </w:rPr>
      </w:pPr>
      <w:r w:rsidRPr="00AC7A86">
        <w:rPr>
          <w:b w:val="0"/>
          <w:i/>
          <w:caps w:val="0"/>
          <w:lang w:val="es-AR"/>
        </w:rPr>
        <w:t>Tabla 2</w:t>
      </w:r>
    </w:p>
    <w:p w:rsidR="00AC7A86" w:rsidRDefault="00AC7A86" w:rsidP="00F15C9E">
      <w:pPr>
        <w:jc w:val="center"/>
        <w:rPr>
          <w:b w:val="0"/>
          <w:i/>
          <w:caps w:val="0"/>
          <w:lang w:val="es-AR"/>
        </w:rPr>
      </w:pPr>
    </w:p>
    <w:p w:rsidR="00AC7A86" w:rsidRDefault="00AC7A86" w:rsidP="00F15C9E">
      <w:pPr>
        <w:jc w:val="center"/>
        <w:rPr>
          <w:b w:val="0"/>
          <w:i/>
          <w:caps w:val="0"/>
          <w:lang w:val="es-AR"/>
        </w:rPr>
      </w:pPr>
    </w:p>
    <w:p w:rsidR="00AC7A86" w:rsidRDefault="00AC7A86" w:rsidP="00F15C9E">
      <w:pPr>
        <w:jc w:val="center"/>
        <w:rPr>
          <w:b w:val="0"/>
          <w:i/>
          <w:caps w:val="0"/>
          <w:lang w:val="es-AR"/>
        </w:rPr>
      </w:pPr>
    </w:p>
    <w:p w:rsidR="00AC7A86" w:rsidRPr="00AC7A86" w:rsidRDefault="00AC7A86" w:rsidP="00F15C9E">
      <w:pPr>
        <w:jc w:val="center"/>
        <w:rPr>
          <w:b w:val="0"/>
          <w:i/>
          <w:caps w:val="0"/>
          <w:lang w:val="es-AR"/>
        </w:rPr>
      </w:pPr>
    </w:p>
    <w:sectPr w:rsidR="00AC7A86" w:rsidRPr="00AC7A86" w:rsidSect="00AC6CC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01C" w:rsidRDefault="0048401C" w:rsidP="008E20FF">
      <w:r>
        <w:separator/>
      </w:r>
    </w:p>
  </w:endnote>
  <w:endnote w:type="continuationSeparator" w:id="0">
    <w:p w:rsidR="0048401C" w:rsidRDefault="0048401C" w:rsidP="008E20FF">
      <w:r>
        <w:continuationSeparator/>
      </w:r>
    </w:p>
  </w:endnote>
  <w:endnote w:id="1">
    <w:p w:rsidR="008E20FF" w:rsidRPr="008E20FF" w:rsidRDefault="008E20FF" w:rsidP="008E20FF">
      <w:pPr>
        <w:pStyle w:val="Textonotaalfinal"/>
        <w:rPr>
          <w:b w:val="0"/>
          <w:i/>
          <w:sz w:val="22"/>
          <w:szCs w:val="22"/>
        </w:rPr>
      </w:pPr>
      <w:r w:rsidRPr="008E20FF">
        <w:rPr>
          <w:rStyle w:val="Refdenotaalfinal"/>
          <w:b w:val="0"/>
          <w:i/>
          <w:sz w:val="22"/>
          <w:szCs w:val="22"/>
        </w:rPr>
        <w:endnoteRef/>
      </w:r>
      <w:r w:rsidRPr="008E20FF">
        <w:rPr>
          <w:b w:val="0"/>
          <w:i/>
          <w:sz w:val="22"/>
          <w:szCs w:val="22"/>
        </w:rPr>
        <w:t xml:space="preserve"> </w:t>
      </w:r>
      <w:r w:rsidRPr="008E20FF">
        <w:rPr>
          <w:b w:val="0"/>
          <w:i/>
          <w:caps w:val="0"/>
          <w:sz w:val="22"/>
          <w:szCs w:val="22"/>
        </w:rPr>
        <w:t>http://www.nist.gov/pml/data/xcom/index.cfm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01C" w:rsidRDefault="0048401C" w:rsidP="008E20FF">
      <w:r>
        <w:separator/>
      </w:r>
    </w:p>
  </w:footnote>
  <w:footnote w:type="continuationSeparator" w:id="0">
    <w:p w:rsidR="0048401C" w:rsidRDefault="0048401C" w:rsidP="008E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12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DD209A7"/>
    <w:multiLevelType w:val="singleLevel"/>
    <w:tmpl w:val="0C0A000F"/>
    <w:lvl w:ilvl="0">
      <w:start w:val="7"/>
      <w:numFmt w:val="decimal"/>
      <w:lvlText w:val="%1."/>
      <w:lvlJc w:val="left"/>
      <w:pPr>
        <w:tabs>
          <w:tab w:val="num" w:pos="360"/>
        </w:tabs>
        <w:ind w:left="360" w:hanging="360"/>
      </w:pPr>
      <w:rPr>
        <w:rFonts w:hint="default"/>
      </w:rPr>
    </w:lvl>
  </w:abstractNum>
  <w:abstractNum w:abstractNumId="2" w15:restartNumberingAfterBreak="0">
    <w:nsid w:val="36F22409"/>
    <w:multiLevelType w:val="singleLevel"/>
    <w:tmpl w:val="F1A621A8"/>
    <w:lvl w:ilvl="0">
      <w:start w:val="9"/>
      <w:numFmt w:val="decimal"/>
      <w:lvlText w:val="%1."/>
      <w:lvlJc w:val="left"/>
      <w:pPr>
        <w:tabs>
          <w:tab w:val="num" w:pos="360"/>
        </w:tabs>
        <w:ind w:left="360" w:hanging="360"/>
      </w:pPr>
    </w:lvl>
  </w:abstractNum>
  <w:abstractNum w:abstractNumId="3" w15:restartNumberingAfterBreak="0">
    <w:nsid w:val="767825E6"/>
    <w:multiLevelType w:val="singleLevel"/>
    <w:tmpl w:val="0C0A000F"/>
    <w:lvl w:ilvl="0">
      <w:start w:val="1"/>
      <w:numFmt w:val="decimal"/>
      <w:lvlText w:val="%1."/>
      <w:lvlJc w:val="left"/>
      <w:pPr>
        <w:tabs>
          <w:tab w:val="num" w:pos="360"/>
        </w:tabs>
        <w:ind w:left="360" w:hanging="360"/>
      </w:pPr>
      <w:rPr>
        <w:rFont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25"/>
    <w:rsid w:val="00016139"/>
    <w:rsid w:val="00022C25"/>
    <w:rsid w:val="00025E17"/>
    <w:rsid w:val="000351E6"/>
    <w:rsid w:val="000616BF"/>
    <w:rsid w:val="000822BD"/>
    <w:rsid w:val="00100FF7"/>
    <w:rsid w:val="002C5108"/>
    <w:rsid w:val="00354BE3"/>
    <w:rsid w:val="00423D70"/>
    <w:rsid w:val="00425B48"/>
    <w:rsid w:val="0048401C"/>
    <w:rsid w:val="004A0A35"/>
    <w:rsid w:val="004C5267"/>
    <w:rsid w:val="00502460"/>
    <w:rsid w:val="00506D74"/>
    <w:rsid w:val="00560A5A"/>
    <w:rsid w:val="005E1AC9"/>
    <w:rsid w:val="00656F72"/>
    <w:rsid w:val="006C135C"/>
    <w:rsid w:val="00724E46"/>
    <w:rsid w:val="00765CE8"/>
    <w:rsid w:val="007B732C"/>
    <w:rsid w:val="007D1900"/>
    <w:rsid w:val="008E20FF"/>
    <w:rsid w:val="0091210A"/>
    <w:rsid w:val="00970625"/>
    <w:rsid w:val="009A484E"/>
    <w:rsid w:val="00A4230F"/>
    <w:rsid w:val="00AC4CD1"/>
    <w:rsid w:val="00AC6CCA"/>
    <w:rsid w:val="00AC7A86"/>
    <w:rsid w:val="00B16685"/>
    <w:rsid w:val="00C000B8"/>
    <w:rsid w:val="00D30971"/>
    <w:rsid w:val="00F1155E"/>
    <w:rsid w:val="00F15C9E"/>
    <w:rsid w:val="00F91F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D42D1"/>
  <w15:docId w15:val="{4764EB6B-A85D-481D-85C7-FA3A85A8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caps/>
      <w:sz w:val="24"/>
      <w:lang w:val="es-ES"/>
    </w:rPr>
  </w:style>
  <w:style w:type="paragraph" w:styleId="Ttulo1">
    <w:name w:val="heading 1"/>
    <w:basedOn w:val="Normal"/>
    <w:next w:val="Normal"/>
    <w:qFormat/>
    <w:pPr>
      <w:keepNext/>
      <w:jc w:val="center"/>
      <w:outlineLvl w:val="0"/>
    </w:pPr>
    <w:rPr>
      <w:lang w:val="es-AR"/>
    </w:rPr>
  </w:style>
  <w:style w:type="paragraph" w:styleId="Ttulo2">
    <w:name w:val="heading 2"/>
    <w:basedOn w:val="Normal"/>
    <w:next w:val="Normal"/>
    <w:qFormat/>
    <w:pPr>
      <w:keepNext/>
      <w:outlineLvl w:val="1"/>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val="0"/>
      <w:lang w:val="es-AR"/>
    </w:rPr>
  </w:style>
  <w:style w:type="paragraph" w:styleId="Subttulo">
    <w:name w:val="Subtitle"/>
    <w:basedOn w:val="Normal"/>
    <w:qFormat/>
    <w:pPr>
      <w:jc w:val="center"/>
    </w:pPr>
    <w:rPr>
      <w:lang w:val="es-AR"/>
    </w:rPr>
  </w:style>
  <w:style w:type="paragraph" w:styleId="Textoindependiente">
    <w:name w:val="Body Text"/>
    <w:basedOn w:val="Normal"/>
    <w:pPr>
      <w:jc w:val="both"/>
    </w:pPr>
    <w:rPr>
      <w:lang w:val="es-AR"/>
    </w:rPr>
  </w:style>
  <w:style w:type="paragraph" w:styleId="Sangradetextonormal">
    <w:name w:val="Body Text Indent"/>
    <w:basedOn w:val="Normal"/>
    <w:pPr>
      <w:ind w:firstLine="360"/>
      <w:jc w:val="both"/>
    </w:pPr>
    <w:rPr>
      <w:lang w:val="es-AR"/>
    </w:rPr>
  </w:style>
  <w:style w:type="paragraph" w:styleId="Textodeglobo">
    <w:name w:val="Balloon Text"/>
    <w:basedOn w:val="Normal"/>
    <w:link w:val="TextodegloboCar"/>
    <w:rsid w:val="000351E6"/>
    <w:rPr>
      <w:rFonts w:ascii="Tahoma" w:hAnsi="Tahoma" w:cs="Tahoma"/>
      <w:sz w:val="16"/>
      <w:szCs w:val="16"/>
    </w:rPr>
  </w:style>
  <w:style w:type="character" w:customStyle="1" w:styleId="TextodegloboCar">
    <w:name w:val="Texto de globo Car"/>
    <w:basedOn w:val="Fuentedeprrafopredeter"/>
    <w:link w:val="Textodeglobo"/>
    <w:rsid w:val="000351E6"/>
    <w:rPr>
      <w:rFonts w:ascii="Tahoma" w:hAnsi="Tahoma" w:cs="Tahoma"/>
      <w:b/>
      <w:caps/>
      <w:sz w:val="16"/>
      <w:szCs w:val="16"/>
      <w:lang w:val="es-ES"/>
    </w:rPr>
  </w:style>
  <w:style w:type="paragraph" w:styleId="Textonotaalfinal">
    <w:name w:val="endnote text"/>
    <w:basedOn w:val="Normal"/>
    <w:link w:val="TextonotaalfinalCar"/>
    <w:rsid w:val="008E20FF"/>
    <w:rPr>
      <w:sz w:val="20"/>
    </w:rPr>
  </w:style>
  <w:style w:type="character" w:customStyle="1" w:styleId="TextonotaalfinalCar">
    <w:name w:val="Texto nota al final Car"/>
    <w:basedOn w:val="Fuentedeprrafopredeter"/>
    <w:link w:val="Textonotaalfinal"/>
    <w:rsid w:val="008E20FF"/>
    <w:rPr>
      <w:b/>
      <w:caps/>
      <w:lang w:val="es-ES"/>
    </w:rPr>
  </w:style>
  <w:style w:type="character" w:styleId="Refdenotaalfinal">
    <w:name w:val="endnote reference"/>
    <w:basedOn w:val="Fuentedeprrafopredeter"/>
    <w:rsid w:val="008E20FF"/>
    <w:rPr>
      <w:vertAlign w:val="superscript"/>
    </w:rPr>
  </w:style>
  <w:style w:type="table" w:styleId="Tablaconcuadrcula">
    <w:name w:val="Table Grid"/>
    <w:basedOn w:val="Tabla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F91F06"/>
    <w:pPr>
      <w:spacing w:after="200"/>
    </w:pPr>
    <w:rPr>
      <w:b w:val="0"/>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104B-C8CA-4A0F-B2A3-A31F275D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Ele</vt:lpstr>
      <vt:lpstr>Ele</vt:lpstr>
    </vt:vector>
  </TitlesOfParts>
  <Company>INIFTA</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dc:title>
  <dc:creator>..</dc:creator>
  <cp:lastModifiedBy>German</cp:lastModifiedBy>
  <cp:revision>3</cp:revision>
  <cp:lastPrinted>2014-09-08T22:36:00Z</cp:lastPrinted>
  <dcterms:created xsi:type="dcterms:W3CDTF">2017-11-02T11:26:00Z</dcterms:created>
  <dcterms:modified xsi:type="dcterms:W3CDTF">2017-11-07T18:27:00Z</dcterms:modified>
</cp:coreProperties>
</file>